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3F36B5" w14:textId="77777777" w:rsidR="004B54AE" w:rsidRDefault="004B54AE" w:rsidP="004B54AE">
      <w:pPr>
        <w:widowControl w:val="0"/>
        <w:tabs>
          <w:tab w:val="left" w:pos="90"/>
          <w:tab w:val="left" w:pos="964"/>
        </w:tabs>
        <w:autoSpaceDE w:val="0"/>
        <w:autoSpaceDN w:val="0"/>
        <w:adjustRightInd w:val="0"/>
        <w:rPr>
          <w:rFonts w:ascii="Arial" w:hAnsi="Arial"/>
          <w:color w:val="000000"/>
          <w:sz w:val="20"/>
        </w:rPr>
      </w:pPr>
    </w:p>
    <w:p w14:paraId="3E2279D9" w14:textId="77777777" w:rsidR="004B54AE" w:rsidRDefault="004B54AE" w:rsidP="004B54AE">
      <w:pPr>
        <w:widowControl w:val="0"/>
        <w:tabs>
          <w:tab w:val="left" w:pos="90"/>
          <w:tab w:val="left" w:pos="964"/>
        </w:tabs>
        <w:autoSpaceDE w:val="0"/>
        <w:autoSpaceDN w:val="0"/>
        <w:adjustRightInd w:val="0"/>
        <w:rPr>
          <w:rFonts w:ascii="Arial" w:hAnsi="Arial"/>
          <w:color w:val="000000"/>
          <w:sz w:val="20"/>
        </w:rPr>
      </w:pPr>
    </w:p>
    <w:p w14:paraId="4BA9473C" w14:textId="77777777" w:rsidR="004B54AE" w:rsidRDefault="004B54AE" w:rsidP="004B54AE">
      <w:pPr>
        <w:widowControl w:val="0"/>
        <w:tabs>
          <w:tab w:val="left" w:pos="90"/>
          <w:tab w:val="left" w:pos="964"/>
        </w:tabs>
        <w:autoSpaceDE w:val="0"/>
        <w:autoSpaceDN w:val="0"/>
        <w:adjustRightInd w:val="0"/>
        <w:rPr>
          <w:rFonts w:ascii="Arial" w:hAnsi="Arial"/>
          <w:color w:val="000000"/>
          <w:sz w:val="20"/>
        </w:rPr>
      </w:pPr>
    </w:p>
    <w:p w14:paraId="381E94A0" w14:textId="77777777" w:rsidR="00115ACD" w:rsidRDefault="00115ACD" w:rsidP="004B54AE">
      <w:pPr>
        <w:widowControl w:val="0"/>
        <w:tabs>
          <w:tab w:val="left" w:pos="90"/>
          <w:tab w:val="left" w:pos="964"/>
        </w:tabs>
        <w:autoSpaceDE w:val="0"/>
        <w:autoSpaceDN w:val="0"/>
        <w:adjustRightInd w:val="0"/>
        <w:rPr>
          <w:rFonts w:ascii="Garamond" w:hAnsi="Garamond"/>
          <w:bCs/>
          <w:color w:val="000000"/>
          <w:sz w:val="20"/>
          <w:szCs w:val="20"/>
        </w:rPr>
      </w:pPr>
    </w:p>
    <w:p w14:paraId="5C00E8E3" w14:textId="29F3379D" w:rsidR="00341376" w:rsidRDefault="00341376" w:rsidP="00393D4A">
      <w:pPr>
        <w:spacing w:after="120"/>
        <w:jc w:val="both"/>
        <w:rPr>
          <w:rFonts w:ascii="Garamond" w:hAnsi="Garamond"/>
        </w:rPr>
      </w:pPr>
      <w:r>
        <w:rPr>
          <w:rFonts w:ascii="Garamond" w:hAnsi="Garamond"/>
        </w:rPr>
        <w:t>PREDLOG</w:t>
      </w:r>
    </w:p>
    <w:p w14:paraId="3AAE58BE" w14:textId="77777777" w:rsidR="00393D4A" w:rsidRPr="00393D4A" w:rsidRDefault="00393D4A" w:rsidP="00393D4A">
      <w:pPr>
        <w:spacing w:after="120"/>
        <w:jc w:val="both"/>
        <w:rPr>
          <w:rFonts w:ascii="Garamond" w:hAnsi="Garamond"/>
        </w:rPr>
      </w:pPr>
      <w:r w:rsidRPr="00393D4A">
        <w:rPr>
          <w:rFonts w:ascii="Garamond" w:hAnsi="Garamond"/>
        </w:rPr>
        <w:t>Na podlagi 39. člena Zakon o spodbujanju razvoja turizma (Uradni list RS, št. 13/18) ter 14. člena Statuta Občine Šentrupert (Uradni list RS, št. 12/18) je Občinski svet Občine Šentrupert na</w:t>
      </w:r>
    </w:p>
    <w:p w14:paraId="4D8F3D60" w14:textId="77777777" w:rsidR="00393D4A" w:rsidRPr="00393D4A" w:rsidRDefault="00393D4A" w:rsidP="00393D4A">
      <w:pPr>
        <w:spacing w:after="120"/>
        <w:jc w:val="both"/>
        <w:rPr>
          <w:rFonts w:ascii="Garamond" w:hAnsi="Garamond"/>
        </w:rPr>
      </w:pPr>
      <w:r w:rsidRPr="00393D4A">
        <w:rPr>
          <w:rFonts w:ascii="Garamond" w:hAnsi="Garamond"/>
        </w:rPr>
        <w:t xml:space="preserve">       redni seji, dne                   sprejel</w:t>
      </w:r>
    </w:p>
    <w:p w14:paraId="710A499C" w14:textId="77777777" w:rsidR="0052022E" w:rsidRPr="0052022E" w:rsidRDefault="0052022E" w:rsidP="00393D4A">
      <w:pPr>
        <w:spacing w:after="120"/>
        <w:jc w:val="center"/>
        <w:rPr>
          <w:rFonts w:ascii="Garamond" w:hAnsi="Garamond"/>
          <w:b/>
        </w:rPr>
      </w:pPr>
    </w:p>
    <w:p w14:paraId="0B32693D" w14:textId="77777777" w:rsidR="00393D4A" w:rsidRPr="00393D4A" w:rsidRDefault="00393D4A" w:rsidP="00393D4A">
      <w:pPr>
        <w:spacing w:after="120"/>
        <w:jc w:val="center"/>
        <w:rPr>
          <w:rFonts w:ascii="Garamond" w:hAnsi="Garamond"/>
          <w:b/>
        </w:rPr>
      </w:pPr>
      <w:bookmarkStart w:id="0" w:name="_GoBack"/>
      <w:r w:rsidRPr="00393D4A">
        <w:rPr>
          <w:rFonts w:ascii="Garamond" w:hAnsi="Garamond"/>
          <w:b/>
        </w:rPr>
        <w:t>ODLOK</w:t>
      </w:r>
    </w:p>
    <w:p w14:paraId="27FC0913" w14:textId="77777777" w:rsidR="00393D4A" w:rsidRPr="00393D4A" w:rsidRDefault="00393D4A" w:rsidP="00393D4A">
      <w:pPr>
        <w:spacing w:after="120"/>
        <w:jc w:val="center"/>
        <w:rPr>
          <w:rFonts w:ascii="Garamond" w:hAnsi="Garamond"/>
          <w:b/>
        </w:rPr>
      </w:pPr>
      <w:r w:rsidRPr="00393D4A">
        <w:rPr>
          <w:rFonts w:ascii="Garamond" w:hAnsi="Garamond"/>
          <w:b/>
        </w:rPr>
        <w:t>O LOKALNEM TURISTIČNEM VODENJU V OBČINI ŠENTRUPERT</w:t>
      </w:r>
    </w:p>
    <w:bookmarkEnd w:id="0"/>
    <w:p w14:paraId="0AF4F56C" w14:textId="77777777" w:rsidR="00393D4A" w:rsidRPr="00393D4A" w:rsidRDefault="00393D4A" w:rsidP="00393D4A">
      <w:pPr>
        <w:spacing w:after="120"/>
        <w:rPr>
          <w:rFonts w:ascii="Garamond" w:hAnsi="Garamond"/>
          <w:b/>
        </w:rPr>
      </w:pPr>
    </w:p>
    <w:p w14:paraId="7277E9B4" w14:textId="77777777" w:rsidR="00393D4A" w:rsidRPr="00393D4A" w:rsidRDefault="00393D4A" w:rsidP="00393D4A">
      <w:pPr>
        <w:spacing w:after="120"/>
        <w:jc w:val="center"/>
        <w:rPr>
          <w:rFonts w:ascii="Garamond" w:hAnsi="Garamond"/>
          <w:b/>
        </w:rPr>
      </w:pPr>
      <w:r w:rsidRPr="00393D4A">
        <w:rPr>
          <w:rFonts w:ascii="Garamond" w:hAnsi="Garamond"/>
          <w:b/>
        </w:rPr>
        <w:t>1. UVODNE DOLOČBE</w:t>
      </w:r>
    </w:p>
    <w:p w14:paraId="7D4D8471" w14:textId="77777777" w:rsidR="00393D4A" w:rsidRPr="00393D4A" w:rsidRDefault="00393D4A" w:rsidP="00393D4A">
      <w:pPr>
        <w:spacing w:after="120"/>
        <w:jc w:val="center"/>
        <w:rPr>
          <w:rFonts w:ascii="Garamond" w:hAnsi="Garamond"/>
          <w:b/>
        </w:rPr>
      </w:pPr>
      <w:r w:rsidRPr="00393D4A">
        <w:rPr>
          <w:rFonts w:ascii="Garamond" w:hAnsi="Garamond"/>
          <w:b/>
        </w:rPr>
        <w:t>1. člen</w:t>
      </w:r>
    </w:p>
    <w:p w14:paraId="21DECC2D" w14:textId="77777777" w:rsidR="00393D4A" w:rsidRPr="00393D4A" w:rsidRDefault="00393D4A" w:rsidP="00393D4A">
      <w:pPr>
        <w:spacing w:after="120"/>
        <w:jc w:val="both"/>
        <w:rPr>
          <w:rFonts w:ascii="Garamond" w:hAnsi="Garamond"/>
        </w:rPr>
      </w:pPr>
      <w:r w:rsidRPr="00393D4A">
        <w:rPr>
          <w:rFonts w:ascii="Garamond" w:hAnsi="Garamond"/>
        </w:rPr>
        <w:t>S tem odlokom se za območje Občine Šentrupert določa program turističnega vodenja ter pogoji za opravljanje dejavnosti turističnega vodenja v Občini Šentrupert.</w:t>
      </w:r>
    </w:p>
    <w:p w14:paraId="7B4BAE30" w14:textId="77777777" w:rsidR="00393D4A" w:rsidRPr="00393D4A" w:rsidRDefault="00393D4A" w:rsidP="00393D4A">
      <w:pPr>
        <w:spacing w:after="120"/>
        <w:jc w:val="center"/>
        <w:rPr>
          <w:rFonts w:ascii="Garamond" w:hAnsi="Garamond"/>
          <w:b/>
        </w:rPr>
      </w:pPr>
      <w:r w:rsidRPr="00393D4A">
        <w:rPr>
          <w:rFonts w:ascii="Garamond" w:hAnsi="Garamond"/>
          <w:b/>
        </w:rPr>
        <w:t>2. člen</w:t>
      </w:r>
    </w:p>
    <w:p w14:paraId="21667175" w14:textId="77777777" w:rsidR="00393D4A" w:rsidRPr="00393D4A" w:rsidRDefault="00393D4A" w:rsidP="00393D4A">
      <w:pPr>
        <w:spacing w:after="120"/>
        <w:jc w:val="both"/>
        <w:rPr>
          <w:rFonts w:ascii="Garamond" w:hAnsi="Garamond"/>
        </w:rPr>
      </w:pPr>
      <w:r w:rsidRPr="00393D4A">
        <w:rPr>
          <w:rFonts w:ascii="Garamond" w:hAnsi="Garamond"/>
        </w:rPr>
        <w:t>Dejavnost lokalnega turističnega vodenja je strokovno vodenje obiskovalcev na območju Občine Šentrupert, po programu, ki ga določijo pristojne organizacije ob soglasju župana Občine Šentrupert.</w:t>
      </w:r>
    </w:p>
    <w:p w14:paraId="721B5F75" w14:textId="77777777" w:rsidR="00393D4A" w:rsidRPr="00393D4A" w:rsidRDefault="00393D4A" w:rsidP="00393D4A">
      <w:pPr>
        <w:spacing w:after="120"/>
        <w:jc w:val="center"/>
        <w:rPr>
          <w:rFonts w:ascii="Garamond" w:hAnsi="Garamond"/>
          <w:b/>
        </w:rPr>
      </w:pPr>
      <w:r w:rsidRPr="00393D4A">
        <w:rPr>
          <w:rFonts w:ascii="Garamond" w:hAnsi="Garamond"/>
          <w:b/>
        </w:rPr>
        <w:t>3. člen</w:t>
      </w:r>
    </w:p>
    <w:p w14:paraId="1F29F00F" w14:textId="77777777" w:rsidR="00393D4A" w:rsidRPr="00393D4A" w:rsidRDefault="00393D4A" w:rsidP="00393D4A">
      <w:pPr>
        <w:spacing w:after="120"/>
        <w:jc w:val="both"/>
        <w:rPr>
          <w:rFonts w:ascii="Garamond" w:hAnsi="Garamond"/>
        </w:rPr>
      </w:pPr>
      <w:r w:rsidRPr="00393D4A">
        <w:rPr>
          <w:rFonts w:ascii="Garamond" w:hAnsi="Garamond"/>
        </w:rPr>
        <w:t>Izvajanje lokalne turistične službe po tem odloku pomeni spremljanje in vodenje domačih in tujih obiskovalcev, raziskovanje in strokovno pojasnjevanje naravnih in kulturnih znamenitosti, zgodovinskih spomenikov, pomembnih dogodkov, umetniških del, etnografskih in drugih znamenitosti na območju Občine Šentrupert.</w:t>
      </w:r>
    </w:p>
    <w:p w14:paraId="422FD4C0" w14:textId="77777777" w:rsidR="0052022E" w:rsidRPr="0052022E" w:rsidRDefault="0052022E" w:rsidP="00393D4A">
      <w:pPr>
        <w:spacing w:after="120"/>
        <w:jc w:val="center"/>
        <w:rPr>
          <w:rFonts w:ascii="Garamond" w:hAnsi="Garamond"/>
          <w:b/>
        </w:rPr>
      </w:pPr>
    </w:p>
    <w:p w14:paraId="26EB404C" w14:textId="77777777" w:rsidR="00393D4A" w:rsidRPr="00393D4A" w:rsidRDefault="00393D4A" w:rsidP="00393D4A">
      <w:pPr>
        <w:spacing w:after="120"/>
        <w:jc w:val="center"/>
        <w:rPr>
          <w:rFonts w:ascii="Garamond" w:hAnsi="Garamond"/>
          <w:b/>
        </w:rPr>
      </w:pPr>
      <w:r w:rsidRPr="00393D4A">
        <w:rPr>
          <w:rFonts w:ascii="Garamond" w:hAnsi="Garamond"/>
          <w:b/>
        </w:rPr>
        <w:t>I. OPREDELITEV POJMA TURISTIČNEGA VODNIKA</w:t>
      </w:r>
    </w:p>
    <w:p w14:paraId="2A0E7D13" w14:textId="77777777" w:rsidR="00393D4A" w:rsidRPr="00393D4A" w:rsidRDefault="00393D4A" w:rsidP="00393D4A">
      <w:pPr>
        <w:spacing w:after="120"/>
        <w:jc w:val="center"/>
        <w:rPr>
          <w:rFonts w:ascii="Garamond" w:hAnsi="Garamond"/>
          <w:b/>
        </w:rPr>
      </w:pPr>
      <w:r w:rsidRPr="00393D4A">
        <w:rPr>
          <w:rFonts w:ascii="Garamond" w:hAnsi="Garamond"/>
          <w:b/>
        </w:rPr>
        <w:t>4. člen</w:t>
      </w:r>
    </w:p>
    <w:p w14:paraId="08E11719" w14:textId="77777777" w:rsidR="00393D4A" w:rsidRPr="00393D4A" w:rsidRDefault="00393D4A" w:rsidP="00393D4A">
      <w:pPr>
        <w:spacing w:after="120"/>
        <w:jc w:val="both"/>
        <w:rPr>
          <w:rFonts w:ascii="Garamond" w:hAnsi="Garamond"/>
        </w:rPr>
      </w:pPr>
      <w:r w:rsidRPr="00393D4A">
        <w:rPr>
          <w:rFonts w:ascii="Garamond" w:hAnsi="Garamond"/>
        </w:rPr>
        <w:t>Po tem odloku je lokalni turistični vodnik fizična oseba, ki je za to strokovno usposobljena in je vpisana v register vodnikov, ki ga vodi Občina Šentrupert ali druga pooblaščena organizacija. Lokalni turistični vodnik domačim in tujim obiskovalcem razkazuje in strokovno pojasnjuje naravne in kulturne zanimivosti, zgodovinske, etnografske in kulinarične posebnosti ter druge znamenitosti v Občini Šentrupert.</w:t>
      </w:r>
    </w:p>
    <w:p w14:paraId="3E3FE1B7" w14:textId="77777777" w:rsidR="00393D4A" w:rsidRPr="00393D4A" w:rsidRDefault="00393D4A" w:rsidP="00393D4A">
      <w:pPr>
        <w:spacing w:after="120"/>
        <w:jc w:val="both"/>
        <w:rPr>
          <w:rFonts w:ascii="Garamond" w:hAnsi="Garamond"/>
        </w:rPr>
      </w:pPr>
      <w:r w:rsidRPr="00393D4A">
        <w:rPr>
          <w:rFonts w:ascii="Garamond" w:hAnsi="Garamond"/>
        </w:rPr>
        <w:t>Dejavnost turističnega vodenja lahko na turističnem območju opravlja tudi oseba, ki se izkazuje z licenco Gospodarske zbornice Slovenije za turističnega vodnika.</w:t>
      </w:r>
    </w:p>
    <w:p w14:paraId="33C2F5D5" w14:textId="77777777" w:rsidR="00393D4A" w:rsidRPr="00393D4A" w:rsidRDefault="00393D4A" w:rsidP="00393D4A">
      <w:pPr>
        <w:spacing w:after="120"/>
        <w:jc w:val="both"/>
        <w:rPr>
          <w:rFonts w:ascii="Garamond" w:hAnsi="Garamond"/>
        </w:rPr>
      </w:pPr>
      <w:r w:rsidRPr="00393D4A">
        <w:rPr>
          <w:rFonts w:ascii="Garamond" w:hAnsi="Garamond"/>
        </w:rPr>
        <w:t>Strokovni delavci v muzejih, galerijah, šolah, cerkvah in drugih objektih, v katerih opravljajo delo vodnika v okviru svoje redne zaposlitve, planinski in jamski vodniki, vodniki po učnih in gozdnih poteh niso lokalni turistični vodniki.</w:t>
      </w:r>
    </w:p>
    <w:p w14:paraId="595DC9BD" w14:textId="77777777" w:rsidR="00393D4A" w:rsidRPr="00393D4A" w:rsidRDefault="00393D4A" w:rsidP="00393D4A">
      <w:pPr>
        <w:spacing w:after="120"/>
        <w:rPr>
          <w:rFonts w:ascii="Garamond" w:hAnsi="Garamond"/>
        </w:rPr>
      </w:pPr>
    </w:p>
    <w:p w14:paraId="7E113DEF" w14:textId="77777777" w:rsidR="00393D4A" w:rsidRPr="00393D4A" w:rsidRDefault="00393D4A" w:rsidP="00393D4A">
      <w:pPr>
        <w:spacing w:after="120"/>
        <w:jc w:val="center"/>
        <w:rPr>
          <w:rFonts w:ascii="Garamond" w:hAnsi="Garamond"/>
          <w:b/>
        </w:rPr>
      </w:pPr>
      <w:r w:rsidRPr="00393D4A">
        <w:rPr>
          <w:rFonts w:ascii="Garamond" w:hAnsi="Garamond"/>
          <w:b/>
        </w:rPr>
        <w:t>II. STROKOVNA USPOSOBLJENOST LOKALNEGA TURISTIČNEGA VODNIKA IN POGOJI ZA OPRAVLJANJE DEJAVNOSTI</w:t>
      </w:r>
    </w:p>
    <w:p w14:paraId="7681F7B3" w14:textId="77777777" w:rsidR="00393D4A" w:rsidRPr="00393D4A" w:rsidRDefault="00393D4A" w:rsidP="00393D4A">
      <w:pPr>
        <w:spacing w:after="120"/>
        <w:jc w:val="center"/>
        <w:rPr>
          <w:rFonts w:ascii="Garamond" w:hAnsi="Garamond"/>
          <w:b/>
        </w:rPr>
      </w:pPr>
      <w:r w:rsidRPr="00393D4A">
        <w:rPr>
          <w:rFonts w:ascii="Garamond" w:hAnsi="Garamond"/>
          <w:b/>
        </w:rPr>
        <w:t>5. člen</w:t>
      </w:r>
    </w:p>
    <w:p w14:paraId="73089439" w14:textId="77777777" w:rsidR="00393D4A" w:rsidRPr="00393D4A" w:rsidRDefault="00393D4A" w:rsidP="00393D4A">
      <w:pPr>
        <w:spacing w:after="120"/>
        <w:jc w:val="both"/>
        <w:rPr>
          <w:rFonts w:ascii="Garamond" w:hAnsi="Garamond"/>
        </w:rPr>
      </w:pPr>
      <w:r w:rsidRPr="00393D4A">
        <w:rPr>
          <w:rFonts w:ascii="Garamond" w:hAnsi="Garamond"/>
        </w:rPr>
        <w:t>Lokalno turistično vodenje lahko opravljajo osebe, ki izpolnjujejo naslednje pogoje:</w:t>
      </w:r>
    </w:p>
    <w:p w14:paraId="2B2B34D6" w14:textId="77777777" w:rsidR="00393D4A" w:rsidRPr="00393D4A" w:rsidRDefault="00393D4A" w:rsidP="00393D4A">
      <w:pPr>
        <w:spacing w:after="120"/>
        <w:jc w:val="both"/>
        <w:rPr>
          <w:rFonts w:ascii="Garamond" w:hAnsi="Garamond"/>
        </w:rPr>
      </w:pPr>
      <w:r w:rsidRPr="00393D4A">
        <w:rPr>
          <w:rFonts w:ascii="Garamond" w:hAnsi="Garamond"/>
        </w:rPr>
        <w:lastRenderedPageBreak/>
        <w:t>– imajo najmanj srednjo stopnjo strokovne izobrazbe,</w:t>
      </w:r>
    </w:p>
    <w:p w14:paraId="3396BF66" w14:textId="77777777" w:rsidR="00393D4A" w:rsidRPr="00393D4A" w:rsidRDefault="00393D4A" w:rsidP="00393D4A">
      <w:pPr>
        <w:spacing w:after="120"/>
        <w:jc w:val="both"/>
        <w:rPr>
          <w:rFonts w:ascii="Garamond" w:hAnsi="Garamond"/>
        </w:rPr>
      </w:pPr>
      <w:r w:rsidRPr="00393D4A">
        <w:rPr>
          <w:rFonts w:ascii="Garamond" w:hAnsi="Garamond"/>
        </w:rPr>
        <w:t>– imajo pridobljeno znanje nega tujega jezika za stopnjo najmanj srednje strokovne izobrazbe,</w:t>
      </w:r>
    </w:p>
    <w:p w14:paraId="393974BC" w14:textId="77777777" w:rsidR="00393D4A" w:rsidRPr="00393D4A" w:rsidRDefault="00393D4A" w:rsidP="00393D4A">
      <w:pPr>
        <w:spacing w:after="120"/>
        <w:jc w:val="both"/>
        <w:rPr>
          <w:rFonts w:ascii="Garamond" w:hAnsi="Garamond"/>
        </w:rPr>
      </w:pPr>
      <w:r w:rsidRPr="00393D4A">
        <w:rPr>
          <w:rFonts w:ascii="Garamond" w:hAnsi="Garamond"/>
        </w:rPr>
        <w:t>– imajo uspešno opravljen preizkus strokovnega usposabljanja za lokalnega turističnega vodnika,</w:t>
      </w:r>
    </w:p>
    <w:p w14:paraId="6C40317A" w14:textId="77777777" w:rsidR="00393D4A" w:rsidRPr="00393D4A" w:rsidRDefault="00393D4A" w:rsidP="00393D4A">
      <w:pPr>
        <w:spacing w:after="120"/>
        <w:jc w:val="both"/>
        <w:rPr>
          <w:rFonts w:ascii="Garamond" w:hAnsi="Garamond"/>
        </w:rPr>
      </w:pPr>
      <w:r w:rsidRPr="00393D4A">
        <w:rPr>
          <w:rFonts w:ascii="Garamond" w:hAnsi="Garamond"/>
        </w:rPr>
        <w:t>– so vpisane v register lokalnih turističnih vodnikov turističnega območja.</w:t>
      </w:r>
    </w:p>
    <w:p w14:paraId="75B705B6" w14:textId="77777777" w:rsidR="00393D4A" w:rsidRPr="00393D4A" w:rsidRDefault="00393D4A" w:rsidP="00393D4A">
      <w:pPr>
        <w:spacing w:after="120"/>
        <w:jc w:val="center"/>
        <w:rPr>
          <w:rFonts w:ascii="Garamond" w:hAnsi="Garamond"/>
          <w:b/>
        </w:rPr>
      </w:pPr>
      <w:r w:rsidRPr="00393D4A">
        <w:rPr>
          <w:rFonts w:ascii="Garamond" w:hAnsi="Garamond"/>
          <w:b/>
        </w:rPr>
        <w:t>6. člen</w:t>
      </w:r>
    </w:p>
    <w:p w14:paraId="096302A5" w14:textId="77777777" w:rsidR="00393D4A" w:rsidRPr="00393D4A" w:rsidRDefault="00393D4A" w:rsidP="00393D4A">
      <w:pPr>
        <w:spacing w:after="120"/>
        <w:jc w:val="both"/>
        <w:rPr>
          <w:rFonts w:ascii="Garamond" w:hAnsi="Garamond"/>
        </w:rPr>
      </w:pPr>
      <w:r w:rsidRPr="00393D4A">
        <w:rPr>
          <w:rFonts w:ascii="Garamond" w:hAnsi="Garamond"/>
        </w:rPr>
        <w:t>Pri izpolnitvi zahtevanih pogojev iz prvega odstavka tega člena bo kandidat pridobil izkaznico za opravljanje lokalne turistične vodniške službe za lokalno območje Občine Šentrupert, ki jo izda s strani Občine Šentrupert pooblaščena organizacija za izvajanje izobraževanja.</w:t>
      </w:r>
    </w:p>
    <w:p w14:paraId="36691A3B" w14:textId="77777777" w:rsidR="00393D4A" w:rsidRPr="00393D4A" w:rsidRDefault="00393D4A" w:rsidP="00393D4A">
      <w:pPr>
        <w:spacing w:after="120"/>
        <w:jc w:val="center"/>
        <w:rPr>
          <w:rFonts w:ascii="Garamond" w:hAnsi="Garamond"/>
          <w:b/>
        </w:rPr>
      </w:pPr>
      <w:r w:rsidRPr="00393D4A">
        <w:rPr>
          <w:rFonts w:ascii="Garamond" w:hAnsi="Garamond"/>
          <w:b/>
        </w:rPr>
        <w:t>7. člen</w:t>
      </w:r>
    </w:p>
    <w:p w14:paraId="79201C4D" w14:textId="77777777" w:rsidR="00393D4A" w:rsidRPr="00393D4A" w:rsidRDefault="00393D4A" w:rsidP="00393D4A">
      <w:pPr>
        <w:spacing w:after="120"/>
        <w:jc w:val="both"/>
        <w:rPr>
          <w:rFonts w:ascii="Garamond" w:hAnsi="Garamond"/>
        </w:rPr>
      </w:pPr>
      <w:r w:rsidRPr="00393D4A">
        <w:rPr>
          <w:rFonts w:ascii="Garamond" w:hAnsi="Garamond"/>
        </w:rPr>
        <w:t>Občina organizira ali koordinira usposabljanje za lokalne turistične vodnike, izvaja pa ga izobraževalna ustanova, ki jo izbere Občina Šentrupert. Po zaključnem tečaju usposabljanja kandidatov za lokalne turistične vodnike se opravi preizkus znanja.</w:t>
      </w:r>
    </w:p>
    <w:p w14:paraId="5FEAB221" w14:textId="77777777" w:rsidR="00393D4A" w:rsidRPr="00393D4A" w:rsidRDefault="00393D4A" w:rsidP="00393D4A">
      <w:pPr>
        <w:spacing w:after="120"/>
        <w:jc w:val="center"/>
        <w:rPr>
          <w:rFonts w:ascii="Garamond" w:hAnsi="Garamond"/>
          <w:b/>
        </w:rPr>
      </w:pPr>
      <w:r w:rsidRPr="00393D4A">
        <w:rPr>
          <w:rFonts w:ascii="Garamond" w:hAnsi="Garamond"/>
          <w:b/>
        </w:rPr>
        <w:t>8. člen</w:t>
      </w:r>
    </w:p>
    <w:p w14:paraId="49C07514" w14:textId="77777777" w:rsidR="00393D4A" w:rsidRPr="00393D4A" w:rsidRDefault="00393D4A" w:rsidP="00393D4A">
      <w:pPr>
        <w:spacing w:after="120"/>
        <w:jc w:val="both"/>
        <w:rPr>
          <w:rFonts w:ascii="Garamond" w:hAnsi="Garamond"/>
        </w:rPr>
      </w:pPr>
      <w:r w:rsidRPr="00393D4A">
        <w:rPr>
          <w:rFonts w:ascii="Garamond" w:hAnsi="Garamond"/>
        </w:rPr>
        <w:t>Izkaznica iz prvega odstavka 6. člena tega odloka vsebuje:</w:t>
      </w:r>
    </w:p>
    <w:p w14:paraId="775858FA" w14:textId="77777777" w:rsidR="00393D4A" w:rsidRPr="00393D4A" w:rsidRDefault="00393D4A" w:rsidP="00393D4A">
      <w:pPr>
        <w:spacing w:after="120"/>
        <w:jc w:val="both"/>
        <w:rPr>
          <w:rFonts w:ascii="Garamond" w:hAnsi="Garamond"/>
        </w:rPr>
      </w:pPr>
      <w:r w:rsidRPr="00393D4A">
        <w:rPr>
          <w:rFonts w:ascii="Garamond" w:hAnsi="Garamond"/>
        </w:rPr>
        <w:t>– ime in priimek vodnika</w:t>
      </w:r>
    </w:p>
    <w:p w14:paraId="135A716C" w14:textId="77777777" w:rsidR="00393D4A" w:rsidRPr="00393D4A" w:rsidRDefault="00393D4A" w:rsidP="00393D4A">
      <w:pPr>
        <w:spacing w:after="120"/>
        <w:jc w:val="both"/>
        <w:rPr>
          <w:rFonts w:ascii="Garamond" w:hAnsi="Garamond"/>
        </w:rPr>
      </w:pPr>
      <w:r w:rsidRPr="00393D4A">
        <w:rPr>
          <w:rFonts w:ascii="Garamond" w:hAnsi="Garamond"/>
        </w:rPr>
        <w:t>– kraj in datum izdaje izkaznice veljavnost izkaznice</w:t>
      </w:r>
    </w:p>
    <w:p w14:paraId="0FBE06CB" w14:textId="77777777" w:rsidR="00393D4A" w:rsidRPr="00393D4A" w:rsidRDefault="00393D4A" w:rsidP="00393D4A">
      <w:pPr>
        <w:spacing w:after="120"/>
        <w:jc w:val="both"/>
        <w:rPr>
          <w:rFonts w:ascii="Garamond" w:hAnsi="Garamond"/>
        </w:rPr>
      </w:pPr>
      <w:r w:rsidRPr="00393D4A">
        <w:rPr>
          <w:rFonts w:ascii="Garamond" w:hAnsi="Garamond"/>
        </w:rPr>
        <w:t>– žig in podpis odgovorne osebe.</w:t>
      </w:r>
    </w:p>
    <w:p w14:paraId="081742F6" w14:textId="77777777" w:rsidR="00393D4A" w:rsidRPr="00393D4A" w:rsidRDefault="00393D4A" w:rsidP="00393D4A">
      <w:pPr>
        <w:spacing w:after="120"/>
        <w:rPr>
          <w:rFonts w:ascii="Garamond" w:hAnsi="Garamond"/>
          <w:b/>
        </w:rPr>
      </w:pPr>
    </w:p>
    <w:p w14:paraId="7F708718" w14:textId="77777777" w:rsidR="00393D4A" w:rsidRPr="00393D4A" w:rsidRDefault="00393D4A" w:rsidP="00393D4A">
      <w:pPr>
        <w:spacing w:after="120"/>
        <w:jc w:val="center"/>
        <w:rPr>
          <w:rFonts w:ascii="Garamond" w:hAnsi="Garamond"/>
          <w:b/>
        </w:rPr>
      </w:pPr>
      <w:r w:rsidRPr="00393D4A">
        <w:rPr>
          <w:rFonts w:ascii="Garamond" w:hAnsi="Garamond"/>
          <w:b/>
        </w:rPr>
        <w:t>III. REGISTER TURISTIČNIH VODNIKOV TURISTIČNEGA OBMOČJA</w:t>
      </w:r>
    </w:p>
    <w:p w14:paraId="1AFB989C" w14:textId="77777777" w:rsidR="00393D4A" w:rsidRPr="00393D4A" w:rsidRDefault="00393D4A" w:rsidP="00393D4A">
      <w:pPr>
        <w:spacing w:after="120"/>
        <w:jc w:val="center"/>
        <w:rPr>
          <w:rFonts w:ascii="Garamond" w:hAnsi="Garamond"/>
          <w:b/>
        </w:rPr>
      </w:pPr>
      <w:r w:rsidRPr="00393D4A">
        <w:rPr>
          <w:rFonts w:ascii="Garamond" w:hAnsi="Garamond"/>
          <w:b/>
        </w:rPr>
        <w:t>9. člen</w:t>
      </w:r>
    </w:p>
    <w:p w14:paraId="411A59EF" w14:textId="77777777" w:rsidR="00393D4A" w:rsidRPr="00393D4A" w:rsidRDefault="00393D4A" w:rsidP="00393D4A">
      <w:pPr>
        <w:spacing w:after="120"/>
        <w:jc w:val="both"/>
        <w:rPr>
          <w:rFonts w:ascii="Garamond" w:hAnsi="Garamond"/>
        </w:rPr>
      </w:pPr>
      <w:r w:rsidRPr="00393D4A">
        <w:rPr>
          <w:rFonts w:ascii="Garamond" w:hAnsi="Garamond"/>
        </w:rPr>
        <w:t>Osebe, ki jim je bilo izdano potrdilo o strokovni usposobljenosti za lokalnega vodnika, se morajo pred začetkom izvajanja dejavnosti vpisati v register lokalnih turističnih vodnikov, ki ga vodi pooblaščena organizacija za izvajanje usposabljanja in Občina Šentrupert.</w:t>
      </w:r>
    </w:p>
    <w:p w14:paraId="2AF907AF" w14:textId="77777777" w:rsidR="00393D4A" w:rsidRPr="00393D4A" w:rsidRDefault="00393D4A" w:rsidP="00393D4A">
      <w:pPr>
        <w:spacing w:after="120"/>
        <w:jc w:val="both"/>
        <w:rPr>
          <w:rFonts w:ascii="Garamond" w:hAnsi="Garamond"/>
        </w:rPr>
      </w:pPr>
      <w:r w:rsidRPr="00393D4A">
        <w:rPr>
          <w:rFonts w:ascii="Garamond" w:hAnsi="Garamond"/>
        </w:rPr>
        <w:t>Z vpisom pridobijo naziv »lokalni turistični vodnik v Občini Šentrupert«.</w:t>
      </w:r>
    </w:p>
    <w:p w14:paraId="2EA88098" w14:textId="77777777" w:rsidR="00393D4A" w:rsidRPr="00393D4A" w:rsidRDefault="00393D4A" w:rsidP="00393D4A">
      <w:pPr>
        <w:spacing w:after="120"/>
        <w:jc w:val="center"/>
        <w:rPr>
          <w:rFonts w:ascii="Garamond" w:hAnsi="Garamond"/>
          <w:b/>
        </w:rPr>
      </w:pPr>
      <w:r w:rsidRPr="00393D4A">
        <w:rPr>
          <w:rFonts w:ascii="Garamond" w:hAnsi="Garamond"/>
          <w:b/>
        </w:rPr>
        <w:t>10. člen</w:t>
      </w:r>
    </w:p>
    <w:p w14:paraId="115A0DA8" w14:textId="77777777" w:rsidR="00393D4A" w:rsidRPr="00393D4A" w:rsidRDefault="00393D4A" w:rsidP="00393D4A">
      <w:pPr>
        <w:spacing w:after="120"/>
        <w:jc w:val="both"/>
        <w:rPr>
          <w:rFonts w:ascii="Garamond" w:hAnsi="Garamond"/>
        </w:rPr>
      </w:pPr>
      <w:r w:rsidRPr="00393D4A">
        <w:rPr>
          <w:rFonts w:ascii="Garamond" w:hAnsi="Garamond"/>
        </w:rPr>
        <w:t>Register za lokalne turistične vodnike vsebuje naslednje podatke:</w:t>
      </w:r>
    </w:p>
    <w:p w14:paraId="46CA8F9E" w14:textId="77777777" w:rsidR="00393D4A" w:rsidRPr="00393D4A" w:rsidRDefault="00393D4A" w:rsidP="00393D4A">
      <w:pPr>
        <w:spacing w:after="120"/>
        <w:jc w:val="both"/>
        <w:rPr>
          <w:rFonts w:ascii="Garamond" w:hAnsi="Garamond"/>
        </w:rPr>
      </w:pPr>
      <w:r w:rsidRPr="00393D4A">
        <w:rPr>
          <w:rFonts w:ascii="Garamond" w:hAnsi="Garamond"/>
        </w:rPr>
        <w:t>1. zaporedno evidenčno številko,</w:t>
      </w:r>
    </w:p>
    <w:p w14:paraId="63F472F8" w14:textId="77777777" w:rsidR="00393D4A" w:rsidRPr="00393D4A" w:rsidRDefault="00393D4A" w:rsidP="00393D4A">
      <w:pPr>
        <w:spacing w:after="120"/>
        <w:jc w:val="both"/>
        <w:rPr>
          <w:rFonts w:ascii="Garamond" w:hAnsi="Garamond"/>
        </w:rPr>
      </w:pPr>
      <w:r w:rsidRPr="00393D4A">
        <w:rPr>
          <w:rFonts w:ascii="Garamond" w:hAnsi="Garamond"/>
        </w:rPr>
        <w:t>2. datum vpisa,</w:t>
      </w:r>
    </w:p>
    <w:p w14:paraId="33EB7461" w14:textId="77777777" w:rsidR="00393D4A" w:rsidRPr="00393D4A" w:rsidRDefault="00393D4A" w:rsidP="00393D4A">
      <w:pPr>
        <w:spacing w:after="120"/>
        <w:jc w:val="both"/>
        <w:rPr>
          <w:rFonts w:ascii="Garamond" w:hAnsi="Garamond"/>
        </w:rPr>
      </w:pPr>
      <w:r w:rsidRPr="00393D4A">
        <w:rPr>
          <w:rFonts w:ascii="Garamond" w:hAnsi="Garamond"/>
        </w:rPr>
        <w:t>3. ime in priimek,</w:t>
      </w:r>
    </w:p>
    <w:p w14:paraId="6ADC705F" w14:textId="77777777" w:rsidR="00393D4A" w:rsidRPr="00393D4A" w:rsidRDefault="00393D4A" w:rsidP="00393D4A">
      <w:pPr>
        <w:spacing w:after="120"/>
        <w:jc w:val="both"/>
        <w:rPr>
          <w:rFonts w:ascii="Garamond" w:hAnsi="Garamond"/>
        </w:rPr>
      </w:pPr>
      <w:r w:rsidRPr="00393D4A">
        <w:rPr>
          <w:rFonts w:ascii="Garamond" w:hAnsi="Garamond"/>
        </w:rPr>
        <w:t>4. prebivališče in številko telefona,</w:t>
      </w:r>
    </w:p>
    <w:p w14:paraId="25CFE320" w14:textId="77777777" w:rsidR="00393D4A" w:rsidRPr="00393D4A" w:rsidRDefault="00393D4A" w:rsidP="00393D4A">
      <w:pPr>
        <w:spacing w:after="120"/>
        <w:jc w:val="both"/>
        <w:rPr>
          <w:rFonts w:ascii="Garamond" w:hAnsi="Garamond"/>
        </w:rPr>
      </w:pPr>
      <w:r w:rsidRPr="00393D4A">
        <w:rPr>
          <w:rFonts w:ascii="Garamond" w:hAnsi="Garamond"/>
        </w:rPr>
        <w:t>5. podatke o znanju tujih jezikov,</w:t>
      </w:r>
    </w:p>
    <w:p w14:paraId="33490AC8" w14:textId="77777777" w:rsidR="00393D4A" w:rsidRPr="00393D4A" w:rsidRDefault="00393D4A" w:rsidP="00393D4A">
      <w:pPr>
        <w:spacing w:after="120"/>
        <w:jc w:val="both"/>
        <w:rPr>
          <w:rFonts w:ascii="Garamond" w:hAnsi="Garamond"/>
        </w:rPr>
      </w:pPr>
      <w:r w:rsidRPr="00393D4A">
        <w:rPr>
          <w:rFonts w:ascii="Garamond" w:hAnsi="Garamond"/>
        </w:rPr>
        <w:t>6. matično in davčno številko,</w:t>
      </w:r>
    </w:p>
    <w:p w14:paraId="142F716D" w14:textId="77777777" w:rsidR="00393D4A" w:rsidRPr="00393D4A" w:rsidRDefault="00393D4A" w:rsidP="00393D4A">
      <w:pPr>
        <w:spacing w:after="120"/>
        <w:jc w:val="both"/>
        <w:rPr>
          <w:rFonts w:ascii="Garamond" w:hAnsi="Garamond"/>
        </w:rPr>
      </w:pPr>
      <w:r w:rsidRPr="00393D4A">
        <w:rPr>
          <w:rFonts w:ascii="Garamond" w:hAnsi="Garamond"/>
        </w:rPr>
        <w:t>7. podatke o številu ur vodenja za preteklo leto,</w:t>
      </w:r>
    </w:p>
    <w:p w14:paraId="7B1F231C" w14:textId="77777777" w:rsidR="00393D4A" w:rsidRPr="00393D4A" w:rsidRDefault="00393D4A" w:rsidP="00393D4A">
      <w:pPr>
        <w:spacing w:after="120"/>
        <w:jc w:val="both"/>
        <w:rPr>
          <w:rFonts w:ascii="Garamond" w:hAnsi="Garamond"/>
        </w:rPr>
      </w:pPr>
      <w:r w:rsidRPr="00393D4A">
        <w:rPr>
          <w:rFonts w:ascii="Garamond" w:hAnsi="Garamond"/>
        </w:rPr>
        <w:t>8. dokazila o strokovnem znanju in usposobljenosti.</w:t>
      </w:r>
    </w:p>
    <w:p w14:paraId="7492D212" w14:textId="77777777" w:rsidR="00393D4A" w:rsidRPr="00393D4A" w:rsidRDefault="00393D4A" w:rsidP="00393D4A">
      <w:pPr>
        <w:spacing w:after="120"/>
        <w:jc w:val="center"/>
        <w:rPr>
          <w:rFonts w:ascii="Garamond" w:hAnsi="Garamond"/>
          <w:b/>
        </w:rPr>
      </w:pPr>
      <w:r w:rsidRPr="00393D4A">
        <w:rPr>
          <w:rFonts w:ascii="Garamond" w:hAnsi="Garamond"/>
          <w:b/>
        </w:rPr>
        <w:t>11. člen</w:t>
      </w:r>
    </w:p>
    <w:p w14:paraId="3F91E1C4" w14:textId="77777777" w:rsidR="00393D4A" w:rsidRPr="00393D4A" w:rsidRDefault="00393D4A" w:rsidP="00393D4A">
      <w:pPr>
        <w:spacing w:after="120"/>
        <w:jc w:val="both"/>
        <w:rPr>
          <w:rFonts w:ascii="Garamond" w:hAnsi="Garamond"/>
        </w:rPr>
      </w:pPr>
      <w:r w:rsidRPr="00393D4A">
        <w:rPr>
          <w:rFonts w:ascii="Garamond" w:hAnsi="Garamond"/>
        </w:rPr>
        <w:t>Po vpisu v register lokalni turistični vodniki pridobijo licenco z veljavnostjo treh let. Po preteku 3 let se mu licenca lahko podaljša v primeru, da je imel v tem obdobju opravljeno najmanj 20 ur vodenj ter na njegovo delo turističnega vodnika ni bilo več kot treh utemeljenih pritožb. Opravljene ure vodenja dokazuje z dnevnikom vodenja, ki ga lokalni vodnik prejme ob vpisu v register.</w:t>
      </w:r>
    </w:p>
    <w:p w14:paraId="5A8F0554" w14:textId="77777777" w:rsidR="00393D4A" w:rsidRPr="00393D4A" w:rsidRDefault="00393D4A" w:rsidP="00393D4A">
      <w:pPr>
        <w:spacing w:after="120"/>
        <w:jc w:val="center"/>
        <w:rPr>
          <w:rFonts w:ascii="Garamond" w:hAnsi="Garamond"/>
          <w:b/>
        </w:rPr>
      </w:pPr>
      <w:r w:rsidRPr="00393D4A">
        <w:rPr>
          <w:rFonts w:ascii="Garamond" w:hAnsi="Garamond"/>
          <w:b/>
        </w:rPr>
        <w:lastRenderedPageBreak/>
        <w:t>12. člen</w:t>
      </w:r>
    </w:p>
    <w:p w14:paraId="3BCC3B49" w14:textId="77777777" w:rsidR="00393D4A" w:rsidRPr="00393D4A" w:rsidRDefault="00393D4A" w:rsidP="00393D4A">
      <w:pPr>
        <w:spacing w:after="120"/>
        <w:jc w:val="both"/>
        <w:rPr>
          <w:rFonts w:ascii="Garamond" w:hAnsi="Garamond"/>
        </w:rPr>
      </w:pPr>
      <w:r w:rsidRPr="00393D4A">
        <w:rPr>
          <w:rFonts w:ascii="Garamond" w:hAnsi="Garamond"/>
        </w:rPr>
        <w:t>Dejavnost turističnega vodenja lahko opravlja samo turistični vodnik, ki ima veljavno licenco. Pri vodenju morajo turistični vodniki na vidnem mestu nositi veljavno izkaznico, ki jo izda pooblaščena organizacija in mora voditi dnevnik vodenja, kjer je navedeno, kdo je naročil vodenje, program vodenja, koliko obiskovalcev je bilo vodeno v posameznem vodenju, kraj oziroma država, od koder so obiskovalci.</w:t>
      </w:r>
    </w:p>
    <w:p w14:paraId="250B3C35" w14:textId="77777777" w:rsidR="00393D4A" w:rsidRPr="00393D4A" w:rsidRDefault="00393D4A" w:rsidP="00393D4A">
      <w:pPr>
        <w:spacing w:after="120"/>
        <w:rPr>
          <w:rFonts w:ascii="Garamond" w:hAnsi="Garamond"/>
          <w:b/>
        </w:rPr>
      </w:pPr>
    </w:p>
    <w:p w14:paraId="3B118B2E" w14:textId="77777777" w:rsidR="00393D4A" w:rsidRPr="00393D4A" w:rsidRDefault="00393D4A" w:rsidP="00393D4A">
      <w:pPr>
        <w:spacing w:after="120"/>
        <w:jc w:val="center"/>
        <w:rPr>
          <w:rFonts w:ascii="Garamond" w:hAnsi="Garamond"/>
          <w:b/>
        </w:rPr>
      </w:pPr>
      <w:r w:rsidRPr="00393D4A">
        <w:rPr>
          <w:rFonts w:ascii="Garamond" w:hAnsi="Garamond"/>
          <w:b/>
        </w:rPr>
        <w:t>IV. PROGRAMI TURISTIČNEGA VODENJA</w:t>
      </w:r>
    </w:p>
    <w:p w14:paraId="2B1539F4" w14:textId="77777777" w:rsidR="00393D4A" w:rsidRPr="00393D4A" w:rsidRDefault="00393D4A" w:rsidP="00393D4A">
      <w:pPr>
        <w:spacing w:after="120"/>
        <w:jc w:val="center"/>
        <w:rPr>
          <w:rFonts w:ascii="Garamond" w:hAnsi="Garamond"/>
          <w:b/>
        </w:rPr>
      </w:pPr>
      <w:r w:rsidRPr="00393D4A">
        <w:rPr>
          <w:rFonts w:ascii="Garamond" w:hAnsi="Garamond"/>
          <w:b/>
        </w:rPr>
        <w:t>13. člen</w:t>
      </w:r>
    </w:p>
    <w:p w14:paraId="685D221A" w14:textId="77777777" w:rsidR="00393D4A" w:rsidRPr="00393D4A" w:rsidRDefault="00393D4A" w:rsidP="00393D4A">
      <w:pPr>
        <w:spacing w:after="120"/>
        <w:jc w:val="both"/>
        <w:rPr>
          <w:rFonts w:ascii="Garamond" w:hAnsi="Garamond"/>
        </w:rPr>
      </w:pPr>
      <w:r w:rsidRPr="00393D4A">
        <w:rPr>
          <w:rFonts w:ascii="Garamond" w:hAnsi="Garamond"/>
        </w:rPr>
        <w:t>Program turističnega vodenja, ki obsega vodenje obiskovalcev k ogledu vseh najpomembnejših turističnih znamenitosti na območju Občine Šentrupert, je standardni program turističnega vodenja. Programi turističnega vodenja so po vsebini in obsegu lahko različni.</w:t>
      </w:r>
    </w:p>
    <w:p w14:paraId="57F21ED4" w14:textId="77777777" w:rsidR="00393D4A" w:rsidRPr="00393D4A" w:rsidRDefault="00393D4A" w:rsidP="00393D4A">
      <w:pPr>
        <w:spacing w:after="120"/>
        <w:jc w:val="both"/>
        <w:rPr>
          <w:rFonts w:ascii="Garamond" w:hAnsi="Garamond"/>
        </w:rPr>
      </w:pPr>
      <w:r w:rsidRPr="00393D4A">
        <w:rPr>
          <w:rFonts w:ascii="Garamond" w:hAnsi="Garamond"/>
        </w:rPr>
        <w:t>Naročen program turističnega vodenja obsega, skladno z interesi naročnikov, vodenje obiskovalcev k ogledu določenih znamenitosti turističnega območja, zanimivih krajev, dogodkov ipd.</w:t>
      </w:r>
    </w:p>
    <w:p w14:paraId="7E958D9E" w14:textId="77777777" w:rsidR="00393D4A" w:rsidRPr="00393D4A" w:rsidRDefault="00393D4A" w:rsidP="00393D4A">
      <w:pPr>
        <w:spacing w:after="120"/>
        <w:rPr>
          <w:rFonts w:ascii="Garamond" w:hAnsi="Garamond"/>
          <w:b/>
        </w:rPr>
      </w:pPr>
    </w:p>
    <w:p w14:paraId="4A66E819" w14:textId="77777777" w:rsidR="00393D4A" w:rsidRPr="00393D4A" w:rsidRDefault="00393D4A" w:rsidP="00393D4A">
      <w:pPr>
        <w:spacing w:after="120"/>
        <w:jc w:val="center"/>
        <w:rPr>
          <w:rFonts w:ascii="Garamond" w:hAnsi="Garamond"/>
          <w:b/>
        </w:rPr>
      </w:pPr>
      <w:r w:rsidRPr="00393D4A">
        <w:rPr>
          <w:rFonts w:ascii="Garamond" w:hAnsi="Garamond"/>
          <w:b/>
        </w:rPr>
        <w:t>V. IZVAJANJE, NAROČILO IN EVIDENCA TURISTIČNIH VODENJ</w:t>
      </w:r>
    </w:p>
    <w:p w14:paraId="68E2F11A" w14:textId="77777777" w:rsidR="00393D4A" w:rsidRPr="00393D4A" w:rsidRDefault="00393D4A" w:rsidP="00393D4A">
      <w:pPr>
        <w:spacing w:after="120"/>
        <w:jc w:val="center"/>
        <w:rPr>
          <w:rFonts w:ascii="Garamond" w:hAnsi="Garamond"/>
          <w:b/>
        </w:rPr>
      </w:pPr>
      <w:r w:rsidRPr="00393D4A">
        <w:rPr>
          <w:rFonts w:ascii="Garamond" w:hAnsi="Garamond"/>
          <w:b/>
        </w:rPr>
        <w:t>14. člen</w:t>
      </w:r>
    </w:p>
    <w:p w14:paraId="65487378" w14:textId="77777777" w:rsidR="00393D4A" w:rsidRPr="00393D4A" w:rsidRDefault="00393D4A" w:rsidP="00393D4A">
      <w:pPr>
        <w:spacing w:after="120"/>
        <w:jc w:val="both"/>
        <w:rPr>
          <w:rFonts w:ascii="Garamond" w:hAnsi="Garamond"/>
        </w:rPr>
      </w:pPr>
      <w:r w:rsidRPr="00393D4A">
        <w:rPr>
          <w:rFonts w:ascii="Garamond" w:hAnsi="Garamond"/>
        </w:rPr>
        <w:t>Lokalna turistična vodenja se izvajajo v okviru standardnih in naročenih vodenj. Naročila za vodenje sprejema:</w:t>
      </w:r>
    </w:p>
    <w:p w14:paraId="2782BA8E" w14:textId="77777777" w:rsidR="00393D4A" w:rsidRPr="00393D4A" w:rsidRDefault="00393D4A" w:rsidP="00393D4A">
      <w:pPr>
        <w:spacing w:after="120"/>
        <w:jc w:val="both"/>
        <w:rPr>
          <w:rFonts w:ascii="Garamond" w:hAnsi="Garamond"/>
        </w:rPr>
      </w:pPr>
      <w:r w:rsidRPr="00393D4A">
        <w:rPr>
          <w:rFonts w:ascii="Garamond" w:hAnsi="Garamond"/>
        </w:rPr>
        <w:t>– Zavod Dežela kozolcev.</w:t>
      </w:r>
    </w:p>
    <w:p w14:paraId="5D3BAC01" w14:textId="77777777" w:rsidR="00393D4A" w:rsidRPr="00393D4A" w:rsidRDefault="00393D4A" w:rsidP="00393D4A">
      <w:pPr>
        <w:spacing w:after="120"/>
        <w:jc w:val="both"/>
        <w:rPr>
          <w:rFonts w:ascii="Garamond" w:hAnsi="Garamond"/>
        </w:rPr>
      </w:pPr>
      <w:r w:rsidRPr="00393D4A">
        <w:rPr>
          <w:rFonts w:ascii="Garamond" w:hAnsi="Garamond"/>
        </w:rPr>
        <w:t>Vsa naročena vodenja morajo prejemniki naročil v roku 3 dni od prejetega naročila sporočiti Občini Šentrupert.</w:t>
      </w:r>
    </w:p>
    <w:p w14:paraId="55429B12" w14:textId="77777777" w:rsidR="00393D4A" w:rsidRPr="00393D4A" w:rsidRDefault="00393D4A" w:rsidP="00393D4A">
      <w:pPr>
        <w:spacing w:after="120"/>
        <w:jc w:val="both"/>
        <w:rPr>
          <w:rFonts w:ascii="Garamond" w:hAnsi="Garamond"/>
        </w:rPr>
      </w:pPr>
      <w:r w:rsidRPr="00393D4A">
        <w:rPr>
          <w:rFonts w:ascii="Garamond" w:hAnsi="Garamond"/>
        </w:rPr>
        <w:t>Storitve lokalnega turističnega vodenja se zaračunavajo po sprejetem letnem ceniku, ki ga vsako potrdi Občinski svet Občine Šentrupert.</w:t>
      </w:r>
    </w:p>
    <w:p w14:paraId="7743F347" w14:textId="77777777" w:rsidR="00393D4A" w:rsidRPr="00393D4A" w:rsidRDefault="00393D4A" w:rsidP="00393D4A">
      <w:pPr>
        <w:spacing w:after="120"/>
        <w:jc w:val="center"/>
        <w:rPr>
          <w:rFonts w:ascii="Garamond" w:hAnsi="Garamond"/>
          <w:b/>
        </w:rPr>
      </w:pPr>
      <w:r w:rsidRPr="00393D4A">
        <w:rPr>
          <w:rFonts w:ascii="Garamond" w:hAnsi="Garamond"/>
          <w:b/>
        </w:rPr>
        <w:t>15. člen</w:t>
      </w:r>
    </w:p>
    <w:p w14:paraId="04D8E0A9" w14:textId="77777777" w:rsidR="00393D4A" w:rsidRPr="00393D4A" w:rsidRDefault="00393D4A" w:rsidP="00393D4A">
      <w:pPr>
        <w:spacing w:after="120"/>
        <w:jc w:val="both"/>
        <w:rPr>
          <w:rFonts w:ascii="Garamond" w:hAnsi="Garamond"/>
        </w:rPr>
      </w:pPr>
      <w:r w:rsidRPr="00393D4A">
        <w:rPr>
          <w:rFonts w:ascii="Garamond" w:hAnsi="Garamond"/>
        </w:rPr>
        <w:t>Občina Šentrupert na osnovi poročila lokalnega turističnega vodnika vodi evidenco o opravljenih turističnih vodenjih, ki jo v obliki letnega poročila posreduje županu. Poročilo odda lokalni turistični vodnik v obliki kopije evidence v dnevniku vodenja, in sicer praviloma v roku 7 dni po opravljenem vodenju, najpozneje pa do konca meseca, ko je vodenje potekalo.</w:t>
      </w:r>
    </w:p>
    <w:p w14:paraId="0F2F5C3C" w14:textId="77777777" w:rsidR="00393D4A" w:rsidRPr="00393D4A" w:rsidRDefault="00393D4A" w:rsidP="00393D4A">
      <w:pPr>
        <w:spacing w:after="120"/>
        <w:rPr>
          <w:rFonts w:ascii="Garamond" w:hAnsi="Garamond"/>
          <w:b/>
        </w:rPr>
      </w:pPr>
    </w:p>
    <w:p w14:paraId="26F21D0D" w14:textId="77777777" w:rsidR="00393D4A" w:rsidRPr="00393D4A" w:rsidRDefault="00393D4A" w:rsidP="0052022E">
      <w:pPr>
        <w:spacing w:after="120"/>
        <w:jc w:val="center"/>
        <w:rPr>
          <w:rFonts w:ascii="Garamond" w:hAnsi="Garamond"/>
          <w:b/>
        </w:rPr>
      </w:pPr>
      <w:r w:rsidRPr="00393D4A">
        <w:rPr>
          <w:rFonts w:ascii="Garamond" w:hAnsi="Garamond"/>
          <w:b/>
        </w:rPr>
        <w:t>VI. NADZOR</w:t>
      </w:r>
    </w:p>
    <w:p w14:paraId="3151387E" w14:textId="77777777" w:rsidR="00393D4A" w:rsidRPr="00393D4A" w:rsidRDefault="00393D4A" w:rsidP="00393D4A">
      <w:pPr>
        <w:spacing w:after="120"/>
        <w:jc w:val="center"/>
        <w:rPr>
          <w:rFonts w:ascii="Garamond" w:hAnsi="Garamond"/>
          <w:b/>
        </w:rPr>
      </w:pPr>
      <w:r w:rsidRPr="00393D4A">
        <w:rPr>
          <w:rFonts w:ascii="Garamond" w:hAnsi="Garamond"/>
          <w:b/>
        </w:rPr>
        <w:t>16. člen</w:t>
      </w:r>
    </w:p>
    <w:p w14:paraId="13F0F92A" w14:textId="77777777" w:rsidR="00393D4A" w:rsidRPr="00393D4A" w:rsidRDefault="00393D4A" w:rsidP="00393D4A">
      <w:pPr>
        <w:spacing w:after="120"/>
        <w:jc w:val="both"/>
        <w:rPr>
          <w:rFonts w:ascii="Garamond" w:hAnsi="Garamond"/>
        </w:rPr>
      </w:pPr>
      <w:r w:rsidRPr="00393D4A">
        <w:rPr>
          <w:rFonts w:ascii="Garamond" w:hAnsi="Garamond"/>
        </w:rPr>
        <w:t>Nadzor nad izvajanjem odloka izvaja pristojni Medobčinski inšpektorat in redarstvo na območju, za katero je pristojen.</w:t>
      </w:r>
    </w:p>
    <w:p w14:paraId="1E938D5D" w14:textId="77777777" w:rsidR="00393D4A" w:rsidRPr="00393D4A" w:rsidRDefault="00393D4A" w:rsidP="00393D4A">
      <w:pPr>
        <w:spacing w:after="120"/>
        <w:jc w:val="center"/>
        <w:rPr>
          <w:rFonts w:ascii="Garamond" w:hAnsi="Garamond"/>
          <w:b/>
        </w:rPr>
      </w:pPr>
      <w:r w:rsidRPr="00393D4A">
        <w:rPr>
          <w:rFonts w:ascii="Garamond" w:hAnsi="Garamond"/>
          <w:b/>
        </w:rPr>
        <w:t>17. člen</w:t>
      </w:r>
    </w:p>
    <w:p w14:paraId="1DA2D8BE" w14:textId="77777777" w:rsidR="00393D4A" w:rsidRPr="00393D4A" w:rsidRDefault="00393D4A" w:rsidP="00393D4A">
      <w:pPr>
        <w:spacing w:after="120"/>
        <w:jc w:val="both"/>
        <w:rPr>
          <w:rFonts w:ascii="Garamond" w:hAnsi="Garamond"/>
        </w:rPr>
      </w:pPr>
      <w:r w:rsidRPr="00393D4A">
        <w:rPr>
          <w:rFonts w:ascii="Garamond" w:hAnsi="Garamond"/>
        </w:rPr>
        <w:t>– Z globo 200 EUR se za prekršek kaznuje fizična oseba, če za opravljanje dejavnosti turističnega vodnika nima pridobljene veljavne izkaznice lokalnega vodnika v Občini Šentrupert ali veljavne izkaznice Gospodarske zbornice Slovenije ali ni vodnik opredeljen v 4. členu tega odloka.</w:t>
      </w:r>
    </w:p>
    <w:p w14:paraId="0B61AE18" w14:textId="77777777" w:rsidR="00393D4A" w:rsidRPr="00393D4A" w:rsidRDefault="00393D4A" w:rsidP="00393D4A">
      <w:pPr>
        <w:spacing w:after="120"/>
        <w:jc w:val="both"/>
        <w:rPr>
          <w:rFonts w:ascii="Garamond" w:hAnsi="Garamond"/>
        </w:rPr>
      </w:pPr>
      <w:r w:rsidRPr="00393D4A">
        <w:rPr>
          <w:rFonts w:ascii="Garamond" w:hAnsi="Garamond"/>
        </w:rPr>
        <w:t>– Z globo 700 EUR se kaznuje pravna oseba, če reden ali naročen ogled zaupa osebi, ki ni lokalni turistični vodnik.</w:t>
      </w:r>
    </w:p>
    <w:p w14:paraId="3D60839E" w14:textId="77777777" w:rsidR="00393D4A" w:rsidRPr="00393D4A" w:rsidRDefault="00393D4A" w:rsidP="00393D4A">
      <w:pPr>
        <w:spacing w:after="120"/>
        <w:jc w:val="both"/>
        <w:rPr>
          <w:rFonts w:ascii="Garamond" w:hAnsi="Garamond"/>
        </w:rPr>
      </w:pPr>
      <w:r w:rsidRPr="00393D4A">
        <w:rPr>
          <w:rFonts w:ascii="Garamond" w:hAnsi="Garamond"/>
        </w:rPr>
        <w:t>– Z globo 500 EUR se kaznuje samostojni podjetnik posameznik, če naročen ogled zaupa osebi, ki ni lokalni turistični vodnik.</w:t>
      </w:r>
    </w:p>
    <w:p w14:paraId="3AA62761" w14:textId="77777777" w:rsidR="00393D4A" w:rsidRPr="00393D4A" w:rsidRDefault="00393D4A" w:rsidP="00393D4A">
      <w:pPr>
        <w:spacing w:after="120"/>
        <w:jc w:val="center"/>
        <w:rPr>
          <w:rFonts w:ascii="Garamond" w:hAnsi="Garamond"/>
          <w:b/>
        </w:rPr>
      </w:pPr>
    </w:p>
    <w:p w14:paraId="13418C0F" w14:textId="77777777" w:rsidR="00393D4A" w:rsidRPr="00393D4A" w:rsidRDefault="00393D4A" w:rsidP="00393D4A">
      <w:pPr>
        <w:spacing w:after="120"/>
        <w:jc w:val="center"/>
        <w:rPr>
          <w:rFonts w:ascii="Garamond" w:hAnsi="Garamond"/>
          <w:b/>
        </w:rPr>
      </w:pPr>
      <w:r w:rsidRPr="00393D4A">
        <w:rPr>
          <w:rFonts w:ascii="Garamond" w:hAnsi="Garamond"/>
          <w:b/>
        </w:rPr>
        <w:t>VII. PREHODNE IN KONČNE DOLOČBE</w:t>
      </w:r>
    </w:p>
    <w:p w14:paraId="54A6CA6E" w14:textId="77777777" w:rsidR="00393D4A" w:rsidRPr="00393D4A" w:rsidRDefault="00393D4A" w:rsidP="00393D4A">
      <w:pPr>
        <w:spacing w:after="120"/>
        <w:jc w:val="center"/>
        <w:rPr>
          <w:rFonts w:ascii="Garamond" w:hAnsi="Garamond"/>
          <w:b/>
        </w:rPr>
      </w:pPr>
      <w:r w:rsidRPr="00393D4A">
        <w:rPr>
          <w:rFonts w:ascii="Garamond" w:hAnsi="Garamond"/>
          <w:b/>
        </w:rPr>
        <w:t>18. člen</w:t>
      </w:r>
    </w:p>
    <w:p w14:paraId="1DB0B388" w14:textId="77777777" w:rsidR="00393D4A" w:rsidRPr="00393D4A" w:rsidRDefault="00393D4A" w:rsidP="00393D4A">
      <w:pPr>
        <w:spacing w:after="120"/>
        <w:jc w:val="both"/>
        <w:rPr>
          <w:rFonts w:ascii="Garamond" w:hAnsi="Garamond"/>
        </w:rPr>
      </w:pPr>
      <w:r w:rsidRPr="00393D4A">
        <w:rPr>
          <w:rFonts w:ascii="Garamond" w:hAnsi="Garamond"/>
        </w:rPr>
        <w:t>Pristojni organ začne z vodenjem registra lokalnih turističnih vodnikov po objavi odloka v Uradnem glasilu e-občina.</w:t>
      </w:r>
    </w:p>
    <w:p w14:paraId="1EE42C85" w14:textId="77777777" w:rsidR="00393D4A" w:rsidRPr="00393D4A" w:rsidRDefault="00393D4A" w:rsidP="00393D4A">
      <w:pPr>
        <w:spacing w:after="120"/>
        <w:jc w:val="both"/>
        <w:rPr>
          <w:rFonts w:ascii="Garamond" w:hAnsi="Garamond"/>
        </w:rPr>
      </w:pPr>
      <w:r w:rsidRPr="00393D4A">
        <w:rPr>
          <w:rFonts w:ascii="Garamond" w:hAnsi="Garamond"/>
        </w:rPr>
        <w:t>Osebe, ki so ob uveljavitvi tega odloka že opravljale dejavnost turističnega vodenja na območju Občine Šentrupert, so dolžne v roku treh mescev od uveljavitve tega odloka Občini Šentrupert za vodenje registra posredovati dokazila o izpolnjevanju pogojev iz 4. člena tega odloka zaradi vpisa v register.</w:t>
      </w:r>
    </w:p>
    <w:p w14:paraId="328CA210" w14:textId="77777777" w:rsidR="00393D4A" w:rsidRPr="00393D4A" w:rsidRDefault="00393D4A" w:rsidP="00393D4A">
      <w:pPr>
        <w:spacing w:after="120"/>
        <w:jc w:val="both"/>
        <w:rPr>
          <w:rFonts w:ascii="Garamond" w:hAnsi="Garamond"/>
        </w:rPr>
      </w:pPr>
      <w:r w:rsidRPr="00393D4A">
        <w:rPr>
          <w:rFonts w:ascii="Garamond" w:hAnsi="Garamond"/>
        </w:rPr>
        <w:t>Če osebe iz drugega odstavka tega člena ne posredujejo v tem roku zahtevanih podatkov za vpis v register, se po preteku tega roka ne smejo več ukvarjati z dejavnostjo turističnega vodenja v Občini Šentrupert.</w:t>
      </w:r>
    </w:p>
    <w:p w14:paraId="58321F0C" w14:textId="77777777" w:rsidR="00393D4A" w:rsidRPr="00393D4A" w:rsidRDefault="00393D4A" w:rsidP="00393D4A">
      <w:pPr>
        <w:spacing w:after="120"/>
        <w:jc w:val="center"/>
        <w:rPr>
          <w:rFonts w:ascii="Garamond" w:hAnsi="Garamond"/>
          <w:b/>
        </w:rPr>
      </w:pPr>
      <w:r w:rsidRPr="00393D4A">
        <w:rPr>
          <w:rFonts w:ascii="Garamond" w:hAnsi="Garamond"/>
          <w:b/>
        </w:rPr>
        <w:t>19. člen</w:t>
      </w:r>
    </w:p>
    <w:p w14:paraId="15DDE408" w14:textId="77777777" w:rsidR="00393D4A" w:rsidRPr="00393D4A" w:rsidRDefault="00393D4A" w:rsidP="00393D4A">
      <w:pPr>
        <w:spacing w:after="120"/>
        <w:jc w:val="both"/>
        <w:rPr>
          <w:rFonts w:ascii="Garamond" w:hAnsi="Garamond"/>
        </w:rPr>
      </w:pPr>
      <w:r w:rsidRPr="00393D4A">
        <w:rPr>
          <w:rFonts w:ascii="Garamond" w:hAnsi="Garamond"/>
        </w:rPr>
        <w:t>Občina Šentrupert oziroma Zavod Dežela kozolcev v roku 30 dni od začetka veljavnosti tega odloka vzpostaviti register lokalnih turističnih vodnikov in pripravi obrazec prijave v register.</w:t>
      </w:r>
    </w:p>
    <w:p w14:paraId="7C81C41F" w14:textId="77777777" w:rsidR="00393D4A" w:rsidRPr="00393D4A" w:rsidRDefault="00393D4A" w:rsidP="00393D4A">
      <w:pPr>
        <w:spacing w:after="120"/>
        <w:jc w:val="center"/>
        <w:rPr>
          <w:rFonts w:ascii="Garamond" w:hAnsi="Garamond"/>
          <w:b/>
        </w:rPr>
      </w:pPr>
      <w:r w:rsidRPr="00393D4A">
        <w:rPr>
          <w:rFonts w:ascii="Garamond" w:hAnsi="Garamond"/>
          <w:b/>
        </w:rPr>
        <w:t>20. člen</w:t>
      </w:r>
    </w:p>
    <w:p w14:paraId="194DC277" w14:textId="77777777" w:rsidR="00393D4A" w:rsidRPr="00393D4A" w:rsidRDefault="00393D4A" w:rsidP="00393D4A">
      <w:pPr>
        <w:spacing w:after="120"/>
        <w:jc w:val="both"/>
        <w:rPr>
          <w:rFonts w:ascii="Garamond" w:hAnsi="Garamond"/>
        </w:rPr>
      </w:pPr>
      <w:r w:rsidRPr="00393D4A">
        <w:rPr>
          <w:rFonts w:ascii="Garamond" w:hAnsi="Garamond"/>
        </w:rPr>
        <w:t>Ta odlok začne veljati naslednji dan po objavi v Uradnem glasilu e-občina.</w:t>
      </w:r>
    </w:p>
    <w:p w14:paraId="572A039B" w14:textId="77777777" w:rsidR="00393D4A" w:rsidRPr="00393D4A" w:rsidRDefault="00393D4A" w:rsidP="00393D4A">
      <w:pPr>
        <w:spacing w:after="120"/>
        <w:rPr>
          <w:rFonts w:ascii="Garamond" w:hAnsi="Garamond"/>
        </w:rPr>
      </w:pPr>
    </w:p>
    <w:p w14:paraId="01D929E1" w14:textId="77777777" w:rsidR="00393D4A" w:rsidRPr="00393D4A" w:rsidRDefault="00393D4A" w:rsidP="00393D4A">
      <w:pPr>
        <w:spacing w:after="120"/>
        <w:rPr>
          <w:rFonts w:ascii="Garamond" w:hAnsi="Garamond"/>
        </w:rPr>
      </w:pPr>
    </w:p>
    <w:p w14:paraId="032844AE" w14:textId="77777777" w:rsidR="00393D4A" w:rsidRPr="00393D4A" w:rsidRDefault="00393D4A" w:rsidP="00393D4A">
      <w:pPr>
        <w:spacing w:after="120"/>
        <w:rPr>
          <w:rFonts w:ascii="Garamond" w:hAnsi="Garamond"/>
          <w:sz w:val="22"/>
          <w:szCs w:val="22"/>
        </w:rPr>
      </w:pPr>
      <w:r w:rsidRPr="00393D4A">
        <w:rPr>
          <w:rFonts w:ascii="Garamond" w:hAnsi="Garamond"/>
        </w:rPr>
        <w:t>Številka:</w:t>
      </w:r>
    </w:p>
    <w:p w14:paraId="3ADF7392" w14:textId="77777777" w:rsidR="00393D4A" w:rsidRPr="00393D4A" w:rsidRDefault="00393D4A" w:rsidP="00393D4A">
      <w:pPr>
        <w:spacing w:after="120"/>
        <w:rPr>
          <w:rFonts w:ascii="Garamond" w:hAnsi="Garamond"/>
        </w:rPr>
      </w:pPr>
      <w:r w:rsidRPr="00393D4A">
        <w:rPr>
          <w:rFonts w:ascii="Garamond" w:hAnsi="Garamond"/>
        </w:rPr>
        <w:t>Datum:</w:t>
      </w:r>
    </w:p>
    <w:p w14:paraId="296186E5" w14:textId="77777777" w:rsidR="00393D4A" w:rsidRPr="00393D4A" w:rsidRDefault="00393D4A" w:rsidP="00393D4A">
      <w:pPr>
        <w:spacing w:after="120"/>
        <w:rPr>
          <w:rFonts w:ascii="Garamond" w:hAnsi="Garamond"/>
        </w:rPr>
      </w:pPr>
    </w:p>
    <w:p w14:paraId="1D80CFBE" w14:textId="77777777" w:rsidR="00393D4A" w:rsidRPr="00393D4A" w:rsidRDefault="00393D4A" w:rsidP="00393D4A">
      <w:pPr>
        <w:spacing w:after="120"/>
        <w:ind w:left="5664" w:firstLine="708"/>
        <w:rPr>
          <w:rFonts w:ascii="Garamond" w:hAnsi="Garamond"/>
        </w:rPr>
      </w:pPr>
      <w:r w:rsidRPr="00393D4A">
        <w:rPr>
          <w:rFonts w:ascii="Garamond" w:hAnsi="Garamond"/>
        </w:rPr>
        <w:t xml:space="preserve">Andrej Martin Kostelec </w:t>
      </w:r>
      <w:proofErr w:type="spellStart"/>
      <w:r w:rsidRPr="00393D4A">
        <w:rPr>
          <w:rFonts w:ascii="Garamond" w:hAnsi="Garamond"/>
        </w:rPr>
        <w:t>l.r</w:t>
      </w:r>
      <w:proofErr w:type="spellEnd"/>
      <w:r w:rsidRPr="00393D4A">
        <w:rPr>
          <w:rFonts w:ascii="Garamond" w:hAnsi="Garamond"/>
        </w:rPr>
        <w:t>.</w:t>
      </w:r>
    </w:p>
    <w:p w14:paraId="71AE699D" w14:textId="77777777" w:rsidR="00393D4A" w:rsidRPr="00393D4A" w:rsidRDefault="00393D4A" w:rsidP="00393D4A">
      <w:pPr>
        <w:spacing w:after="120"/>
        <w:ind w:left="5664" w:firstLine="708"/>
        <w:rPr>
          <w:rFonts w:ascii="Garamond" w:hAnsi="Garamond"/>
        </w:rPr>
      </w:pPr>
      <w:r w:rsidRPr="00393D4A">
        <w:rPr>
          <w:rFonts w:ascii="Garamond" w:hAnsi="Garamond"/>
        </w:rPr>
        <w:t>Župan občine Šentrupert</w:t>
      </w:r>
    </w:p>
    <w:p w14:paraId="4B1691B6" w14:textId="77777777" w:rsidR="00393D4A" w:rsidRPr="00393D4A" w:rsidRDefault="00393D4A" w:rsidP="00393D4A">
      <w:pPr>
        <w:spacing w:after="120"/>
        <w:rPr>
          <w:rFonts w:ascii="Garamond" w:hAnsi="Garamond"/>
        </w:rPr>
      </w:pPr>
    </w:p>
    <w:p w14:paraId="0B0E8465" w14:textId="77777777" w:rsidR="00393D4A" w:rsidRPr="0052022E" w:rsidRDefault="00393D4A" w:rsidP="00393D4A">
      <w:pPr>
        <w:tabs>
          <w:tab w:val="left" w:pos="1065"/>
        </w:tabs>
        <w:rPr>
          <w:rFonts w:ascii="Garamond" w:hAnsi="Garamond"/>
        </w:rPr>
      </w:pPr>
    </w:p>
    <w:sectPr w:rsidR="00393D4A" w:rsidRPr="0052022E" w:rsidSect="00570CFE">
      <w:headerReference w:type="first" r:id="rId7"/>
      <w:footerReference w:type="first" r:id="rId8"/>
      <w:pgSz w:w="11906" w:h="16838"/>
      <w:pgMar w:top="1134" w:right="1418" w:bottom="1418" w:left="1418" w:header="0"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46BECC" w14:textId="77777777" w:rsidR="00495206" w:rsidRDefault="00495206">
      <w:r>
        <w:separator/>
      </w:r>
    </w:p>
  </w:endnote>
  <w:endnote w:type="continuationSeparator" w:id="0">
    <w:p w14:paraId="07488D5A" w14:textId="77777777" w:rsidR="00495206" w:rsidRDefault="00495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664C2" w14:textId="77777777" w:rsidR="00570CFE" w:rsidRDefault="004B54AE">
    <w:pPr>
      <w:pStyle w:val="Noga"/>
    </w:pPr>
    <w:r>
      <w:rPr>
        <w:noProof/>
      </w:rPr>
      <w:drawing>
        <wp:anchor distT="0" distB="0" distL="114300" distR="114300" simplePos="0" relativeHeight="251661312" behindDoc="0" locked="0" layoutInCell="1" allowOverlap="1" wp14:anchorId="6C238512" wp14:editId="29B4E3AC">
          <wp:simplePos x="0" y="0"/>
          <wp:positionH relativeFrom="column">
            <wp:posOffset>683895</wp:posOffset>
          </wp:positionH>
          <wp:positionV relativeFrom="paragraph">
            <wp:posOffset>-356235</wp:posOffset>
          </wp:positionV>
          <wp:extent cx="2698115" cy="451485"/>
          <wp:effectExtent l="0" t="0" r="6985" b="5715"/>
          <wp:wrapNone/>
          <wp:docPr id="1" name="Slika 1" descr="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8115" cy="4514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2274B4" w14:textId="77777777" w:rsidR="00495206" w:rsidRDefault="00495206">
      <w:r>
        <w:separator/>
      </w:r>
    </w:p>
  </w:footnote>
  <w:footnote w:type="continuationSeparator" w:id="0">
    <w:p w14:paraId="32A177F8" w14:textId="77777777" w:rsidR="00495206" w:rsidRDefault="004952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F19CC" w14:textId="77777777" w:rsidR="00570CFE" w:rsidRDefault="004B54AE">
    <w:pPr>
      <w:pStyle w:val="Glava"/>
    </w:pPr>
    <w:r>
      <w:rPr>
        <w:noProof/>
      </w:rPr>
      <w:drawing>
        <wp:anchor distT="0" distB="0" distL="114300" distR="114300" simplePos="0" relativeHeight="251660288" behindDoc="0" locked="0" layoutInCell="1" allowOverlap="1" wp14:anchorId="1802B558" wp14:editId="3AF3A5A5">
          <wp:simplePos x="0" y="0"/>
          <wp:positionH relativeFrom="column">
            <wp:posOffset>5602605</wp:posOffset>
          </wp:positionH>
          <wp:positionV relativeFrom="paragraph">
            <wp:posOffset>262890</wp:posOffset>
          </wp:positionV>
          <wp:extent cx="766445" cy="914400"/>
          <wp:effectExtent l="0" t="0" r="0" b="0"/>
          <wp:wrapNone/>
          <wp:docPr id="3" name="Slika 3"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44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0267905" wp14:editId="4EFD72A2">
          <wp:simplePos x="0" y="0"/>
          <wp:positionH relativeFrom="column">
            <wp:posOffset>0</wp:posOffset>
          </wp:positionH>
          <wp:positionV relativeFrom="paragraph">
            <wp:posOffset>262890</wp:posOffset>
          </wp:positionV>
          <wp:extent cx="3352800" cy="914400"/>
          <wp:effectExtent l="0" t="0" r="0" b="0"/>
          <wp:wrapNone/>
          <wp:docPr id="2" name="Slika 2" descr="g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528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C273E"/>
    <w:multiLevelType w:val="hybridMultilevel"/>
    <w:tmpl w:val="AA90EB4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C6D55E5"/>
    <w:multiLevelType w:val="hybridMultilevel"/>
    <w:tmpl w:val="2418298C"/>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6704BC0"/>
    <w:multiLevelType w:val="hybridMultilevel"/>
    <w:tmpl w:val="FC4A59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32F3EE2"/>
    <w:multiLevelType w:val="hybridMultilevel"/>
    <w:tmpl w:val="DCBCC9FA"/>
    <w:lvl w:ilvl="0" w:tplc="F29A94B2">
      <w:start w:val="1411"/>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F5B448F"/>
    <w:multiLevelType w:val="hybridMultilevel"/>
    <w:tmpl w:val="49A219A2"/>
    <w:lvl w:ilvl="0" w:tplc="0A444748">
      <w:start w:val="1"/>
      <w:numFmt w:val="decimal"/>
      <w:lvlText w:val="%1."/>
      <w:lvlJc w:val="right"/>
      <w:pPr>
        <w:ind w:left="720" w:hanging="360"/>
      </w:pPr>
      <w:rPr>
        <w:rFonts w:hint="default"/>
      </w:rPr>
    </w:lvl>
    <w:lvl w:ilvl="1" w:tplc="DC9627FE">
      <w:start w:val="1"/>
      <w:numFmt w:val="decimal"/>
      <w:lvlText w:val="%2."/>
      <w:lvlJc w:val="right"/>
      <w:pPr>
        <w:ind w:left="1440" w:hanging="360"/>
      </w:pPr>
      <w:rPr>
        <w:rFonts w:hint="default"/>
        <w:b w:val="0"/>
        <w:bCs/>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73C77CC8"/>
    <w:multiLevelType w:val="hybridMultilevel"/>
    <w:tmpl w:val="2190EB7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77194F3F"/>
    <w:multiLevelType w:val="hybridMultilevel"/>
    <w:tmpl w:val="2418298C"/>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4AE"/>
    <w:rsid w:val="000174AE"/>
    <w:rsid w:val="0003170F"/>
    <w:rsid w:val="000403F6"/>
    <w:rsid w:val="00074D94"/>
    <w:rsid w:val="00115ACD"/>
    <w:rsid w:val="00144869"/>
    <w:rsid w:val="001716E8"/>
    <w:rsid w:val="0018083D"/>
    <w:rsid w:val="001C261A"/>
    <w:rsid w:val="001D6460"/>
    <w:rsid w:val="00211980"/>
    <w:rsid w:val="0024799A"/>
    <w:rsid w:val="00295692"/>
    <w:rsid w:val="002F4269"/>
    <w:rsid w:val="00306C05"/>
    <w:rsid w:val="00333DE3"/>
    <w:rsid w:val="00341376"/>
    <w:rsid w:val="00386ED1"/>
    <w:rsid w:val="00390C82"/>
    <w:rsid w:val="00393D4A"/>
    <w:rsid w:val="00495206"/>
    <w:rsid w:val="004B54AE"/>
    <w:rsid w:val="0052022E"/>
    <w:rsid w:val="0053293A"/>
    <w:rsid w:val="00580B8D"/>
    <w:rsid w:val="005A6126"/>
    <w:rsid w:val="005E75BF"/>
    <w:rsid w:val="00620CD2"/>
    <w:rsid w:val="00686AD9"/>
    <w:rsid w:val="006E3881"/>
    <w:rsid w:val="00700D35"/>
    <w:rsid w:val="007A7C3A"/>
    <w:rsid w:val="00806D9C"/>
    <w:rsid w:val="008F5636"/>
    <w:rsid w:val="00927669"/>
    <w:rsid w:val="00A249DE"/>
    <w:rsid w:val="00A66E0C"/>
    <w:rsid w:val="00A97889"/>
    <w:rsid w:val="00AD77C8"/>
    <w:rsid w:val="00AE3F46"/>
    <w:rsid w:val="00BA646D"/>
    <w:rsid w:val="00C33C67"/>
    <w:rsid w:val="00C83B36"/>
    <w:rsid w:val="00CB7CEE"/>
    <w:rsid w:val="00CC0113"/>
    <w:rsid w:val="00CC0DE0"/>
    <w:rsid w:val="00DD6EA2"/>
    <w:rsid w:val="00E171EF"/>
    <w:rsid w:val="00E74637"/>
    <w:rsid w:val="00EC047B"/>
    <w:rsid w:val="00EC58B0"/>
    <w:rsid w:val="00F42373"/>
    <w:rsid w:val="00F6741B"/>
    <w:rsid w:val="00F92518"/>
    <w:rsid w:val="00F93E05"/>
    <w:rsid w:val="00FC0F4A"/>
    <w:rsid w:val="00FC35FD"/>
    <w:rsid w:val="00FF60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399B8"/>
  <w15:chartTrackingRefBased/>
  <w15:docId w15:val="{C9B4A01E-BD19-42E8-B46A-8E8AF7A58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B54AE"/>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4B54AE"/>
    <w:pPr>
      <w:tabs>
        <w:tab w:val="center" w:pos="4536"/>
        <w:tab w:val="right" w:pos="9072"/>
      </w:tabs>
    </w:pPr>
  </w:style>
  <w:style w:type="character" w:customStyle="1" w:styleId="GlavaZnak">
    <w:name w:val="Glava Znak"/>
    <w:basedOn w:val="Privzetapisavaodstavka"/>
    <w:link w:val="Glava"/>
    <w:rsid w:val="004B54AE"/>
    <w:rPr>
      <w:rFonts w:ascii="Times New Roman" w:eastAsia="Times New Roman" w:hAnsi="Times New Roman" w:cs="Times New Roman"/>
      <w:sz w:val="24"/>
      <w:szCs w:val="24"/>
      <w:lang w:eastAsia="sl-SI"/>
    </w:rPr>
  </w:style>
  <w:style w:type="paragraph" w:styleId="Noga">
    <w:name w:val="footer"/>
    <w:basedOn w:val="Navaden"/>
    <w:link w:val="NogaZnak"/>
    <w:rsid w:val="004B54AE"/>
    <w:pPr>
      <w:tabs>
        <w:tab w:val="center" w:pos="4536"/>
        <w:tab w:val="right" w:pos="9072"/>
      </w:tabs>
    </w:pPr>
  </w:style>
  <w:style w:type="character" w:customStyle="1" w:styleId="NogaZnak">
    <w:name w:val="Noga Znak"/>
    <w:basedOn w:val="Privzetapisavaodstavka"/>
    <w:link w:val="Noga"/>
    <w:rsid w:val="004B54AE"/>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8F5636"/>
    <w:pPr>
      <w:ind w:left="720"/>
      <w:contextualSpacing/>
    </w:pPr>
  </w:style>
  <w:style w:type="paragraph" w:styleId="Besedilooblaka">
    <w:name w:val="Balloon Text"/>
    <w:basedOn w:val="Navaden"/>
    <w:link w:val="BesedilooblakaZnak"/>
    <w:uiPriority w:val="99"/>
    <w:semiHidden/>
    <w:unhideWhenUsed/>
    <w:rsid w:val="000174AE"/>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174AE"/>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1147</Words>
  <Characters>6540</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Marie Valentar</dc:creator>
  <cp:keywords/>
  <dc:description/>
  <cp:lastModifiedBy>Občina Šentrupert</cp:lastModifiedBy>
  <cp:revision>2</cp:revision>
  <cp:lastPrinted>2020-08-03T08:29:00Z</cp:lastPrinted>
  <dcterms:created xsi:type="dcterms:W3CDTF">2020-08-19T14:29:00Z</dcterms:created>
  <dcterms:modified xsi:type="dcterms:W3CDTF">2020-08-19T14:29:00Z</dcterms:modified>
</cp:coreProperties>
</file>